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E40AF"/>
          <w:sz w:val="44"/>
        </w:rPr>
        <w:t>Uygulama Notları ve Onay Akışı</w:t>
      </w:r>
    </w:p>
    <w:p>
      <w:pPr>
        <w:jc w:val="center"/>
      </w:pPr>
      <w:r>
        <w:rPr>
          <w:rFonts w:ascii="Arial" w:hAnsi="Arial"/>
          <w:b/>
          <w:color w:val="1F2937"/>
          <w:sz w:val="28"/>
        </w:rPr>
        <w:t>Tenis Lab Academy</w:t>
      </w:r>
    </w:p>
    <w:p>
      <w:pPr>
        <w:jc w:val="center"/>
      </w:pPr>
      <w:r>
        <w:rPr>
          <w:rFonts w:ascii="Arial" w:hAnsi="Arial"/>
          <w:color w:val="4B5563"/>
          <w:sz w:val="20"/>
        </w:rPr>
        <w:t>Nihai v1.0  |  17.03.2026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fill="F7FAFC"/>
            <w:vAlign w:val="cente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r>
              <w:rPr>
                <w:rFonts w:ascii="Arial" w:hAnsi="Arial"/>
                <w:b/>
                <w:color w:val="1E40AF"/>
                <w:sz w:val="21"/>
              </w:rPr>
              <w:t>Yayın öncesi not</w:t>
              <w:br/>
            </w:r>
            <w:r>
              <w:rPr>
                <w:rFonts w:ascii="Arial" w:hAnsi="Arial"/>
                <w:color w:val="1F2937"/>
                <w:sz w:val="20"/>
              </w:rPr>
              <w:t>Bu belge kullanıcıya gösterilmek için değil, uygulama ve hukuk akışını netleştirmek için hazırlanmıştır.</w:t>
            </w:r>
          </w:p>
        </w:tc>
      </w:tr>
    </w:tbl>
    <w:p/>
    <w:p>
      <w:pPr>
        <w:pStyle w:val="Heading1"/>
      </w:pPr>
      <w:r>
        <w:t>Önerilen onay akışı</w:t>
      </w:r>
    </w:p>
    <w:p>
      <w:pPr>
        <w:pStyle w:val="ListNumber"/>
        <w:spacing w:after="40"/>
      </w:pPr>
      <w:r>
        <w:t>Aydınlatma metni ekranda ayrı gösterilir. Okundu bilgisi alınabilir ancak bu onay açık rıza yerine geçmez</w:t>
      </w:r>
    </w:p>
    <w:p>
      <w:pPr>
        <w:pStyle w:val="ListNumber"/>
        <w:spacing w:after="40"/>
      </w:pPr>
      <w:r>
        <w:t>Üyelik ve hizmet koşulları ayrı kabul ekranında sunulur</w:t>
      </w:r>
    </w:p>
    <w:p>
      <w:pPr>
        <w:pStyle w:val="ListNumber"/>
        <w:spacing w:after="40"/>
      </w:pPr>
      <w:r>
        <w:t>Sağlık verisi işlenecek alanlar için ayrı açık rıza kutucuğu kullanılır</w:t>
      </w:r>
    </w:p>
    <w:p>
      <w:pPr>
        <w:pStyle w:val="ListNumber"/>
        <w:spacing w:after="40"/>
      </w:pPr>
      <w:r>
        <w:t>S-IEO arşiv ve akademiler arası veri taşıma için ayrı açık rıza kutucuğu kullanılır</w:t>
      </w:r>
    </w:p>
    <w:p>
      <w:pPr>
        <w:pStyle w:val="ListNumber"/>
        <w:spacing w:after="40"/>
      </w:pPr>
      <w:r>
        <w:t>Yurt dışı aktarım veya yapay zeka analizi doğuran özellikler için ayrı açık rıza kutucuğu kullanılır</w:t>
      </w:r>
    </w:p>
    <w:p>
      <w:pPr>
        <w:pStyle w:val="Heading1"/>
      </w:pPr>
      <w:r>
        <w:t>Önemli uygulama notları</w:t>
      </w:r>
    </w:p>
    <w:p>
      <w:pPr>
        <w:pStyle w:val="ListBullet"/>
        <w:spacing w:after="40"/>
      </w:pPr>
      <w:r>
        <w:t>Tek bir kutucuk ile hem aydınlatma metninin okunduğu hem açık rıza verildiği kurgulanmamalıdır</w:t>
      </w:r>
    </w:p>
    <w:p>
      <w:pPr>
        <w:pStyle w:val="ListBullet"/>
        <w:spacing w:after="40"/>
      </w:pPr>
      <w:r>
        <w:t>Platformun tamamen açık rızaya bağlanması yerine, zorunlu üyelik ve eğitim verileri için ayrı hukuki dayanaklar değerlendirilmeli, açık rıza sadece gerçekten gerekli alanlarda kullanılmalıdır</w:t>
      </w:r>
    </w:p>
    <w:p>
      <w:pPr>
        <w:pStyle w:val="ListBullet"/>
        <w:spacing w:after="40"/>
      </w:pPr>
      <w:r>
        <w:t>Oyuncu reşit değilse veli veya kanuni temsilci akışı zorunlu hale getirilmelidir</w:t>
      </w:r>
    </w:p>
    <w:p>
      <w:pPr>
        <w:pStyle w:val="ListBullet"/>
        <w:spacing w:after="40"/>
      </w:pPr>
      <w:r>
        <w:t>Hangi verinin X Akademi tarafında, hangi verinin S-IEO tarafında tutulduğu veri envanterinde açıkça ayrıştırılmalıdır</w:t>
      </w:r>
    </w:p>
    <w:p>
      <w:pPr>
        <w:pStyle w:val="ListBullet"/>
        <w:spacing w:after="40"/>
      </w:pPr>
      <w:r>
        <w:t>Cloudflare R2 benzeri depolama altyapıları veya yapay zeka servis sağlayıcıları kullanılıyorsa veri akışı, servis sağlayıcı adı, bölge bilgisi ve hukuki mekanizma ayrıca teyit edilmelidir.</w:t>
      </w:r>
    </w:p>
    <w:p>
      <w:pPr>
        <w:pStyle w:val="Heading1"/>
      </w:pPr>
      <w:r>
        <w:t>Yayın öncesi doldurulacak alanlar</w:t>
      </w:r>
    </w:p>
    <w:p>
      <w:pPr>
        <w:pStyle w:val="ListBullet"/>
        <w:spacing w:after="40"/>
      </w:pPr>
      <w:r>
        <w:t>Akademi ve şirket iletişim bilgilerinin ürün içi ekranlarla birebir uyumu</w:t>
      </w:r>
    </w:p>
    <w:p>
      <w:pPr>
        <w:pStyle w:val="ListBullet"/>
        <w:spacing w:after="40"/>
      </w:pPr>
      <w:r>
        <w:t>Gerçekte kullanılan destek ve başvuru kanallarının ürün içi ekranlarla birebir uyumu</w:t>
      </w:r>
    </w:p>
    <w:p>
      <w:pPr>
        <w:pStyle w:val="ListBullet"/>
        <w:spacing w:after="40"/>
      </w:pPr>
      <w:r>
        <w:t>Gerçekte kullanılan depolama, analitik ve yapay zeka hizmet sağlayıcılarının isimleri</w:t>
      </w:r>
    </w:p>
    <w:p>
      <w:pPr>
        <w:pStyle w:val="ListBullet"/>
        <w:spacing w:after="40"/>
      </w:pPr>
      <w:r>
        <w:t>Reşit olmayan oyuncular için yaş ve veli akışı</w:t>
      </w:r>
    </w:p>
    <w:p>
      <w:pPr>
        <w:pStyle w:val="ListBullet"/>
        <w:spacing w:after="40"/>
      </w:pPr>
      <w:r>
        <w:t>İletişim ve veri sahibi başvuru ekranı URL bilgileri</w:t>
      </w:r>
    </w:p>
    <w:sectPr w:rsidR="00FC693F" w:rsidRPr="0006063C" w:rsidSect="00034616">
      <w:footerReference w:type="default" r:id="rId9"/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B5563"/>
        <w:sz w:val="18"/>
      </w:rPr>
      <w:t xml:space="preserve">Sayfa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E40A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200"/>
      <w:contextualSpacing/>
    </w:pPr>
    <w:rPr>
      <w:rFonts w:asciiTheme="majorHAnsi" w:eastAsiaTheme="majorEastAsia" w:hAnsiTheme="majorHAnsi" w:cstheme="majorBidi" w:ascii="Arial" w:hAnsi="Arial" w:eastAsia="Arial"/>
      <w:b/>
      <w:color w:val="1E40A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