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1E40AF"/>
          <w:sz w:val="44"/>
        </w:rPr>
        <w:t>Veri Sahibi Başvuru, Saklama ve Silme Süreci</w:t>
      </w:r>
    </w:p>
    <w:p>
      <w:pPr>
        <w:jc w:val="center"/>
      </w:pPr>
      <w:r>
        <w:rPr>
          <w:rFonts w:ascii="Arial" w:hAnsi="Arial"/>
          <w:b/>
          <w:color w:val="1F2937"/>
          <w:sz w:val="28"/>
        </w:rPr>
        <w:t>Tenis Lab Academy</w:t>
      </w:r>
    </w:p>
    <w:p>
      <w:pPr>
        <w:jc w:val="center"/>
      </w:pPr>
      <w:r>
        <w:rPr>
          <w:rFonts w:ascii="Arial" w:hAnsi="Arial"/>
          <w:color w:val="4B5563"/>
          <w:sz w:val="20"/>
        </w:rPr>
        <w:t>Nihai v1.0  |  17.03.2026</w:t>
      </w:r>
    </w:p>
    <w:p>
      <w:pPr>
        <w:pStyle w:val="Heading1"/>
      </w:pPr>
      <w:r>
        <w:t>Başvuru kanalları</w:t>
      </w:r>
    </w:p>
    <w:p>
      <w:r>
        <w:t>İlgili kişiler, Tenis Lab Academy tarafı için ailosmankaya@gmail.com e-posta adresi, 0505 031 30 07 telefon numarası veya Sahilevleri, İlim Sk., 35320 Narlıdere/İzmir adresi üzerinden; S-IEO tarafı için ise bilgi@kortlab.com e-posta adresi veya 1930/1 Sokak No:8 Daire:2 100. Yıl Mahallesi Bayraklı İzmir adresi üzerinden müracaat edebilir.</w:t>
      </w:r>
    </w:p>
    <w:p>
      <w:pPr>
        <w:pStyle w:val="Heading1"/>
      </w:pPr>
      <w:r>
        <w:t>Başvuruda istenebilecek bilgiler</w:t>
      </w:r>
    </w:p>
    <w:p>
      <w:pPr>
        <w:pStyle w:val="ListBullet"/>
        <w:spacing w:after="20"/>
      </w:pPr>
      <w:r>
        <w:t>Ad ve soyad</w:t>
      </w:r>
    </w:p>
    <w:p>
      <w:pPr>
        <w:pStyle w:val="ListBullet"/>
        <w:spacing w:after="20"/>
      </w:pPr>
      <w:r>
        <w:t>Başvuru konusu</w:t>
      </w:r>
    </w:p>
    <w:p>
      <w:pPr>
        <w:pStyle w:val="ListBullet"/>
        <w:spacing w:after="20"/>
      </w:pPr>
      <w:r>
        <w:t>Talebe ilişkin açıklama</w:t>
      </w:r>
    </w:p>
    <w:p>
      <w:pPr>
        <w:pStyle w:val="ListBullet"/>
        <w:spacing w:after="20"/>
      </w:pPr>
      <w:r>
        <w:t>Başvurucu ile oyuncu farklı ise temsil veya yakınlık durumu</w:t>
      </w:r>
    </w:p>
    <w:p>
      <w:pPr>
        <w:pStyle w:val="ListBullet"/>
        <w:spacing w:after="20"/>
      </w:pPr>
      <w:r>
        <w:t>İletişim bilgileri</w:t>
      </w:r>
    </w:p>
    <w:p>
      <w:pPr>
        <w:pStyle w:val="Heading1"/>
      </w:pPr>
      <w:r>
        <w:t>Başvuruların değerlendirilmesi</w:t>
      </w:r>
    </w:p>
    <w:p>
      <w:pPr>
        <w:pStyle w:val="ListNumber"/>
        <w:spacing w:after="20"/>
      </w:pPr>
      <w:r>
        <w:t>Başvuru alınır ve kayıt altına alınır</w:t>
      </w:r>
    </w:p>
    <w:p>
      <w:pPr>
        <w:pStyle w:val="ListNumber"/>
        <w:spacing w:after="20"/>
      </w:pPr>
      <w:r>
        <w:t>Kimlik doğrulaması yapılır</w:t>
      </w:r>
    </w:p>
    <w:p>
      <w:pPr>
        <w:pStyle w:val="ListNumber"/>
        <w:spacing w:after="20"/>
      </w:pPr>
      <w:r>
        <w:t>Talep, veri kategorilerine ve hukuki duruma göre değerlendirilir</w:t>
      </w:r>
    </w:p>
    <w:p>
      <w:pPr>
        <w:pStyle w:val="ListNumber"/>
        <w:spacing w:after="20"/>
      </w:pPr>
      <w:r>
        <w:t>Varsa üçüncü taraflara aktarım durumu kontrol edilir</w:t>
      </w:r>
    </w:p>
    <w:p>
      <w:pPr>
        <w:pStyle w:val="ListNumber"/>
        <w:spacing w:after="20"/>
      </w:pPr>
      <w:r>
        <w:t>Sonuç ilgili kişiye yazılı veya elektronik ortamda bildirilir</w:t>
      </w:r>
    </w:p>
    <w:p>
      <w:pPr>
        <w:pStyle w:val="Heading1"/>
      </w:pPr>
      <w:r>
        <w:t>Saklama ve imha yaklaşımı</w:t>
      </w:r>
    </w:p>
    <w:p>
      <w:pPr>
        <w:pStyle w:val="ListBullet"/>
        <w:spacing w:after="20"/>
      </w:pPr>
      <w:r>
        <w:t>Aktif kullanıcı verileri hizmetin yürütülmesi için gerekli süre kadar saklanır</w:t>
      </w:r>
    </w:p>
    <w:p>
      <w:pPr>
        <w:pStyle w:val="ListBullet"/>
        <w:spacing w:after="20"/>
      </w:pPr>
      <w:r>
        <w:t>Hizmetin sona ermesi sonrasında ilgili mevzuat ve işleme amacı doğrultusunda gerekli makul süreler uygulanır</w:t>
      </w:r>
    </w:p>
    <w:p>
      <w:pPr>
        <w:pStyle w:val="ListBullet"/>
        <w:spacing w:after="20"/>
      </w:pPr>
      <w:r>
        <w:t>İşleme şartlarının tamamı ortadan kalktığında veriler silinir, yok edilir veya anonim hale getirilir</w:t>
      </w:r>
    </w:p>
    <w:p>
      <w:pPr>
        <w:pStyle w:val="ListBullet"/>
        <w:spacing w:after="20"/>
      </w:pPr>
      <w:r>
        <w:t>Büyük hacimli medya dosyaları için ayrı arşiv eşikleri ve kademeli saklama kuralları uygulanabilir</w:t>
      </w:r>
    </w:p>
    <w:p>
      <w:pPr>
        <w:pStyle w:val="Heading1"/>
      </w:pPr>
      <w:r>
        <w:t>Örnek saklama tablosu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rPr>
          <w:tblHeader w:val="true"/>
        </w:trPr>
        <w:tc>
          <w:tcPr>
            <w:tcW w:type="dxa" w:w="4986"/>
            <w:shd w:fill="1E40AF"/>
          </w:tcPr>
          <w:p>
            <w:r>
              <w:t>Alan</w:t>
            </w:r>
          </w:p>
        </w:tc>
        <w:tc>
          <w:tcPr>
            <w:tcW w:type="dxa" w:w="4986"/>
            <w:shd w:fill="1E40AF"/>
          </w:tcPr>
          <w:p>
            <w:r>
              <w:t>Bilgi</w:t>
            </w:r>
          </w:p>
        </w:tc>
      </w:tr>
      <w:tr>
        <w:tc>
          <w:tcPr>
            <w:tcW w:type="dxa" w:w="4986"/>
            <w:shd w:fill="EFF6FF"/>
          </w:tcPr>
          <w:p>
            <w:r>
              <w:t>Üyelik ve temel hesap bilgileri</w:t>
            </w:r>
          </w:p>
        </w:tc>
        <w:tc>
          <w:tcPr>
            <w:tcW w:type="dxa" w:w="4986"/>
          </w:tcPr>
          <w:p>
            <w:r>
              <w:t>Hizmet süresi ve sona ermesinden sonraki makul süre</w:t>
            </w:r>
          </w:p>
        </w:tc>
      </w:tr>
      <w:tr>
        <w:tc>
          <w:tcPr>
            <w:tcW w:type="dxa" w:w="4986"/>
            <w:shd w:fill="EFF6FF"/>
          </w:tcPr>
          <w:p>
            <w:r>
              <w:t>Ders raporları ve test sonuçları</w:t>
            </w:r>
          </w:p>
        </w:tc>
        <w:tc>
          <w:tcPr>
            <w:tcW w:type="dxa" w:w="4986"/>
          </w:tcPr>
          <w:p>
            <w:r>
              <w:t>Aktif kullanım süresi ve arşiv hizmeti varsa daha uzun süre</w:t>
            </w:r>
          </w:p>
        </w:tc>
      </w:tr>
      <w:tr>
        <w:tc>
          <w:tcPr>
            <w:tcW w:type="dxa" w:w="4986"/>
            <w:shd w:fill="EFF6FF"/>
          </w:tcPr>
          <w:p>
            <w:r>
              <w:t>Fotoğraf ve video dosyaları</w:t>
            </w:r>
          </w:p>
        </w:tc>
        <w:tc>
          <w:tcPr>
            <w:tcW w:type="dxa" w:w="4986"/>
          </w:tcPr>
          <w:p>
            <w:r>
              <w:t>Aktif kullanım ve sonrasında arşiv politikasına göre kademeli değerlendirme</w:t>
            </w:r>
          </w:p>
        </w:tc>
      </w:tr>
      <w:tr>
        <w:tc>
          <w:tcPr>
            <w:tcW w:type="dxa" w:w="4986"/>
            <w:shd w:fill="EFF6FF"/>
          </w:tcPr>
          <w:p>
            <w:r>
              <w:t>Sağlık notları ve log kayıtları</w:t>
            </w:r>
          </w:p>
        </w:tc>
        <w:tc>
          <w:tcPr>
            <w:tcW w:type="dxa" w:w="4986"/>
          </w:tcPr>
          <w:p>
            <w:r>
              <w:t>Açık rıza, bilgi güvenliği ve teknik gerekliliklere göre belirlenen süre</w:t>
            </w:r>
          </w:p>
        </w:tc>
      </w:tr>
    </w:tbl>
    <w:p/>
    <w:p>
      <w:pPr>
        <w:pStyle w:val="Heading1"/>
      </w:pPr>
      <w:r>
        <w:t>Teslim ve silme senaryoları</w:t>
      </w:r>
    </w:p>
    <w:p>
      <w:pPr>
        <w:pStyle w:val="ListBullet"/>
        <w:spacing w:after="20"/>
      </w:pPr>
      <w:r>
        <w:t>Kullanıcı talep ederse verilerinin indirilebilir kopyası hazırlanabilir</w:t>
      </w:r>
    </w:p>
    <w:p>
      <w:pPr>
        <w:pStyle w:val="ListBullet"/>
        <w:spacing w:after="20"/>
      </w:pPr>
      <w:r>
        <w:t>Kullanıcı arşiv hesabını kapatmak isterse silme, teslim veya aktarım seçenekleri sunulabilir</w:t>
      </w:r>
    </w:p>
    <w:p>
      <w:pPr>
        <w:pStyle w:val="ListBullet"/>
        <w:spacing w:after="20"/>
      </w:pPr>
      <w:r>
        <w:t>Kullanıcıya uzun dönem eşiklerinde hatırlatma gönderilebilir</w:t>
      </w:r>
    </w:p>
    <w:sectPr w:rsidR="00FC693F" w:rsidRPr="0006063C" w:rsidSect="00034616">
      <w:footerReference w:type="default" r:id="rId9"/>
      <w:pgSz w:w="12240" w:h="15840"/>
      <w:pgMar w:top="1134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4B5563"/>
        <w:sz w:val="18"/>
      </w:rPr>
      <w:t xml:space="preserve">Sayfa </w:t>
    </w:r>
    <w:r>
      <w:fldChar w:fldCharType="begin"/>
      <w:instrText xml:space="preserve">PAGE</w:instrText>
      <w:fldChar w:fldCharType="separate"/>
      <w:t>1</w: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Arial" w:hAnsi="Arial" w:eastAsia="Arial"/>
      <w:color w:val="1F2937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20" w:after="4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E40A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11827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4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111827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40" w:line="240" w:lineRule="auto" w:before="120"/>
      <w:contextualSpacing/>
    </w:pPr>
    <w:rPr>
      <w:rFonts w:asciiTheme="majorHAnsi" w:eastAsiaTheme="majorEastAsia" w:hAnsiTheme="majorHAnsi" w:cstheme="majorBidi" w:ascii="Arial" w:hAnsi="Arial" w:eastAsia="Arial"/>
      <w:b/>
      <w:color w:val="1E40AF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