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E40AF"/>
          <w:sz w:val="44"/>
        </w:rPr>
        <w:t>Gizlilik Politikası</w:t>
      </w:r>
    </w:p>
    <w:p>
      <w:pPr>
        <w:jc w:val="center"/>
      </w:pPr>
      <w:r>
        <w:rPr>
          <w:rFonts w:ascii="Arial" w:hAnsi="Arial"/>
          <w:b/>
          <w:color w:val="1F2937"/>
          <w:sz w:val="28"/>
        </w:rPr>
        <w:t>Tenis Lab Academy</w:t>
      </w:r>
    </w:p>
    <w:p>
      <w:pPr>
        <w:jc w:val="center"/>
      </w:pPr>
      <w:r>
        <w:rPr>
          <w:rFonts w:ascii="Arial" w:hAnsi="Arial"/>
          <w:color w:val="4B5563"/>
          <w:sz w:val="20"/>
        </w:rPr>
        <w:t>Nihai v1.0  |  17.03.2026</w:t>
      </w:r>
    </w:p>
    <w:p>
      <w:r>
        <w:t>Bu politika, tenislabacademy.com alan adlı Tenis Lab Academy internet sitesi ile S-IEO altyapısı kullanılan dijital alanlarda kişisel verilerin gizliliği ve güvenliği konusunda genel çerçeveyi açıklamak amacıyla hazırlanmıştır.</w:t>
      </w:r>
    </w:p>
    <w:p>
      <w:pPr>
        <w:pStyle w:val="Heading1"/>
      </w:pPr>
      <w:r>
        <w:t>Temel yaklaşım</w:t>
      </w:r>
    </w:p>
    <w:p>
      <w:pPr>
        <w:pStyle w:val="ListBullet"/>
        <w:spacing w:after="40"/>
      </w:pPr>
      <w:r>
        <w:t>Kişisel veriler, hukuka ve dürüstlük kurallarına uygun şekilde işlenir</w:t>
      </w:r>
    </w:p>
    <w:p>
      <w:pPr>
        <w:pStyle w:val="ListBullet"/>
        <w:spacing w:after="40"/>
      </w:pPr>
      <w:r>
        <w:t>Veriler belirli, açık ve meşru amaçlarla toplanır</w:t>
      </w:r>
    </w:p>
    <w:p>
      <w:pPr>
        <w:pStyle w:val="ListBullet"/>
        <w:spacing w:after="40"/>
      </w:pPr>
      <w:r>
        <w:t>Amaçla bağlantılı, sınırlı ve ölçülü veri işlenir</w:t>
      </w:r>
    </w:p>
    <w:p>
      <w:pPr>
        <w:pStyle w:val="ListBullet"/>
        <w:spacing w:after="40"/>
      </w:pPr>
      <w:r>
        <w:t>Veriler gerekli olan süre kadar muhafaza edilir</w:t>
      </w:r>
    </w:p>
    <w:p>
      <w:pPr>
        <w:pStyle w:val="ListBullet"/>
        <w:spacing w:after="40"/>
      </w:pPr>
      <w:r>
        <w:t>Yetkisiz erişim, ifşa, kayıp ve kötüye kullanım risklerine karşı teknik ve idari tedbirler uygulanır</w:t>
      </w:r>
    </w:p>
    <w:p>
      <w:pPr>
        <w:pStyle w:val="Heading1"/>
      </w:pPr>
      <w:r>
        <w:t>Hangi bilgiler gizlilik politikası kapsamındadır</w:t>
      </w:r>
    </w:p>
    <w:p>
      <w:pPr>
        <w:pStyle w:val="ListBullet"/>
        <w:spacing w:after="40"/>
      </w:pPr>
      <w:r>
        <w:t>Üyelik ve iletişim bilgileri</w:t>
      </w:r>
    </w:p>
    <w:p>
      <w:pPr>
        <w:pStyle w:val="ListBullet"/>
        <w:spacing w:after="40"/>
      </w:pPr>
      <w:r>
        <w:t>Oyuncu eğitim ve performans kayıtları</w:t>
      </w:r>
    </w:p>
    <w:p>
      <w:pPr>
        <w:pStyle w:val="ListBullet"/>
        <w:spacing w:after="40"/>
      </w:pPr>
      <w:r>
        <w:t>Fotoğraf, video, ses kaydı ve ekran görüntüleri</w:t>
      </w:r>
    </w:p>
    <w:p>
      <w:pPr>
        <w:pStyle w:val="ListBullet"/>
        <w:spacing w:after="40"/>
      </w:pPr>
      <w:r>
        <w:t>Sisteme girilen notlar ve raporlar</w:t>
      </w:r>
    </w:p>
    <w:p>
      <w:pPr>
        <w:pStyle w:val="ListBullet"/>
        <w:spacing w:after="40"/>
      </w:pPr>
      <w:r>
        <w:t>Sağlık verisi niteliğine girebilecek sakatlık ve risk notları</w:t>
      </w:r>
    </w:p>
    <w:p>
      <w:pPr>
        <w:pStyle w:val="ListBullet"/>
        <w:spacing w:after="40"/>
      </w:pPr>
      <w:r>
        <w:t>Çerezler, log kayıtları ve güvenlik verileri</w:t>
      </w:r>
    </w:p>
    <w:p>
      <w:pPr>
        <w:pStyle w:val="Heading1"/>
      </w:pPr>
      <w:r>
        <w:t>Veri güvenliği</w:t>
      </w:r>
    </w:p>
    <w:p>
      <w:pPr>
        <w:pStyle w:val="ListBullet"/>
        <w:spacing w:after="40"/>
      </w:pPr>
      <w:r>
        <w:t>Erişimler rol bazlı olarak sınırlandırılır</w:t>
      </w:r>
    </w:p>
    <w:p>
      <w:pPr>
        <w:pStyle w:val="ListBullet"/>
        <w:spacing w:after="40"/>
      </w:pPr>
      <w:r>
        <w:t>Gerekli görülen alanlarda yedekleme ve loglama yapılır</w:t>
      </w:r>
    </w:p>
    <w:p>
      <w:pPr>
        <w:pStyle w:val="ListBullet"/>
        <w:spacing w:after="40"/>
      </w:pPr>
      <w:r>
        <w:t>Yetkisiz erişimi önleyici teknik ve idari önlemler uygulanır</w:t>
      </w:r>
    </w:p>
    <w:p>
      <w:pPr>
        <w:pStyle w:val="ListBullet"/>
        <w:spacing w:after="40"/>
      </w:pPr>
      <w:r>
        <w:t>Üçüncü taraf hizmet sağlayıcılar ile çalışma halinde gizlilik ve veri işleme yükümlülükleri sözleşmelerle düzenlenir</w:t>
      </w:r>
    </w:p>
    <w:p>
      <w:pPr>
        <w:pStyle w:val="Heading1"/>
      </w:pPr>
      <w:r>
        <w:t>Uzun dönem arşivleme</w:t>
      </w:r>
    </w:p>
    <w:p>
      <w:r>
        <w:t>S-IEO arşiv hizmeti kullanılan yapılarda, kullanıcı veya veli tarafından açıkça talep edilen ve onaylanan veriler daha uzun süre saklanabilir. Uzun süre erişilmeyen arşivlerde yüksek hacimli medya dosyaları arşiv politikası doğrultusunda optimize edilebilir, daraltılabilir veya silinebilir. Temel eğitim geçmişi ise saklama amacının devam ettiği ölçüde korunabilir.</w:t>
      </w:r>
    </w:p>
    <w:p>
      <w:pPr>
        <w:pStyle w:val="Heading1"/>
      </w:pPr>
      <w:r>
        <w:t>Hakların kullanılması</w:t>
      </w:r>
    </w:p>
    <w:p>
      <w:r>
        <w:t>İlgili kişiler, KVKK kapsamındaki taleplerini veri sorumlusuna iletebilir. Talepler başvuru prosedürüne göre değerlendirilir.</w:t>
      </w:r>
    </w:p>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B5563"/>
        <w:sz w:val="18"/>
      </w:rPr>
      <w:t xml:space="preserve">Sayfa </w:t>
    </w:r>
    <w:r>
      <w:fldChar w:fldCharType="begin"/>
      <w:instrText xml:space="preserve">PAGE</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eastAsia="Arial"/>
      <w:b/>
      <w:bCs/>
      <w:color w:val="1E40AF"/>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111827"/>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eastAsia="Arial"/>
      <w:b/>
      <w:bCs/>
      <w:color w:val="1118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00"/>
      <w:contextualSpacing/>
    </w:pPr>
    <w:rPr>
      <w:rFonts w:asciiTheme="majorHAnsi" w:eastAsiaTheme="majorEastAsia" w:hAnsiTheme="majorHAnsi" w:cstheme="majorBidi" w:ascii="Arial" w:hAnsi="Arial" w:eastAsia="Arial"/>
      <w:b/>
      <w:color w:val="1E40A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